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05:46 МСК · База обновлена: 21.07.2026, 07:33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Рентгенэндоваскулярные диагностика и лечение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76 лет амбулаторно обратился к кардиохирургу.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spacing w:after="58"/>
      </w:pPr>
      <w:r>
        <w:rPr>
          <w:b w:val="0"/>
          <w:i w:val="0"/>
        </w:rPr>
        <w:t>Боли в грудной клетке, одышку при физической нагрузке отрицает.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10 лет назад впервые при пальпации живота хирург обнаружил опухолевидное образование, с тех пор считает себя больным. Над опухолью выслушивался систолический шум. Отмечалась пульсация при пальпации. В динамике за последние годы опухолевидное образование увеличивалось в размерах. Аппетит нормальный. Потерю веса в течение последних лет отрицает. Онкологический анамнез не отягощен.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Нарушение ритма сердца: частые предсердные экстрасистолы. Гипертоническая болезнь III стадии, достигнут нормальный уровень АД, риск 4. Дислипидемия.</w:t>
      </w:r>
    </w:p>
    <w:p>
      <w:pPr>
        <w:spacing w:after="58"/>
      </w:pPr>
      <w:r>
        <w:rPr>
          <w:b w:val="0"/>
          <w:i w:val="0"/>
        </w:rPr>
        <w:t>Варикозная болезнь. Варикозное расширение вен нижних конечностей. Хронический атрофический гастрит.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Телосложение: правильное, питание – нормальное. Рост: 170 см, вес: 70 кг. Площадь поверхности тела: 1.81 м2. Индекс массы тела: 24 кг/м2.</w:t>
      </w:r>
    </w:p>
    <w:p>
      <w:pPr>
        <w:spacing w:after="58"/>
      </w:pPr>
      <w:r>
        <w:rPr>
          <w:b w:val="0"/>
          <w:i w:val="0"/>
        </w:rPr>
        <w:t>ОРГАНЫ ДЫХАНИЯ:ЧД: 17 в мин. Дыхание – свободное. Аускультативно: везикулярное дыхание. Хрипы: нет.</w:t>
      </w:r>
    </w:p>
    <w:p>
      <w:pPr>
        <w:spacing w:after="58"/>
      </w:pPr>
      <w:r>
        <w:rPr>
          <w:b w:val="0"/>
          <w:i w:val="0"/>
        </w:rPr>
        <w:t>СЕРДЕЧНО-СОСУДИСТАЯ СИСТЕМА: ЧСС 64 уд. в мин. АД на плечевых артериях справа и слева 140/80мм рт. ст.Тоны сердца: нормальной звучности, аритмичные (экстрасистолия). Шумы: нет.</w:t>
      </w:r>
    </w:p>
    <w:p>
      <w:pPr>
        <w:spacing w:after="58"/>
      </w:pPr>
      <w:r>
        <w:rPr>
          <w:b w:val="0"/>
          <w:i w:val="0"/>
        </w:rPr>
        <w:t>ОРГАНЫ ПИЩЕВАРЕНИЯ: язык - чистый влажный. Зубы: ротовая полость, санирована. Живот: мягкий безболезненный. При пальпации в мезогастральной области слева пальпируется округлое, пульсирующее, несмещаемое, безболезненное образование размером 10 см. Лимфоузлы не увеличены.</w:t>
      </w:r>
    </w:p>
    <w:p>
      <w:pPr>
        <w:pStyle w:val="Heading3"/>
      </w:pPr>
      <w:r>
        <w:t>1.6. Данные дополнительных методов обследования</w:t>
      </w:r>
    </w:p>
    <w:p>
      <w:pPr>
        <w:spacing w:after="58"/>
      </w:pPr>
      <w:r>
        <w:rPr>
          <w:b w:val="0"/>
          <w:i w:val="0"/>
        </w:rPr>
        <w:t>По данным общего анализа крови:</w:t>
        <w:br/>
        <w:t>эритроциты (3.1-5.7*1012/ л) 4.69 * 1012/ л, +</w:t>
        <w:br/>
        <w:t>гемоглобин (122-168 г/л)146 г/л, +</w:t>
        <w:br/>
        <w:t>цветной показатель (0.8-1.05) 0.93, +</w:t>
        <w:br/>
        <w:t>гематокрит (30.0-49.5 %) 43.5%, +</w:t>
        <w:br/>
        <w:t>MCV ср. объём эритр. (78-103 фл) 93 фл, +</w:t>
        <w:br/>
        <w:t>MCH ср. сод Hb/1 эритроците (26.0-35.0 пг) 31 пг, +</w:t>
        <w:br/>
        <w:t>MCHC ср. конц. Hb/1 эритроците (320-364 г/л) 337 г/л, +</w:t>
        <w:br/>
        <w:t>RDW распределение эритроцитов по объему (11.6-14.5%) 13.6%, +</w:t>
        <w:br/>
        <w:t>СОЭ (до 15 мм/час) 8 мм/час, тромбоциты 180-320*109/л) 213 * 109/л, +</w:t>
        <w:br/>
        <w:t>MPV средний объём тромбоцитов (7.5-10.0 фл) 7.7 фл, +</w:t>
        <w:br/>
        <w:t>лейкоциты (4.0-8.8*109/л) 6.6 * 109/л, +</w:t>
        <w:br/>
        <w:t>лимфоциты   (20-45%) 42.8%, +</w:t>
        <w:br/>
        <w:t>нейтрофилы (41-75%) 44.1%, +</w:t>
        <w:br/>
        <w:t>моноциты (3-8%) 7.8%, +</w:t>
        <w:br/>
        <w:t>базофилы (0-1%) 0.1%, +</w:t>
        <w:br/>
        <w:t>эозинофилы (0-5%) 2.2%.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По данным биохимического исследования крови при поступлении СКФ 54 мл/мин/1.73 м2 (известно что за последние 3 месяца это цифра не изменялась), что соответствует +_____+ ст. хронической болезни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3б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3а</w:t>
      </w:r>
    </w:p>
    <w:p>
      <w:pPr>
        <w:ind w:left="504"/>
      </w:pPr>
      <w:r>
        <w:rPr>
          <w:b w:val="0"/>
          <w:i/>
        </w:rPr>
        <w:t>СКФ 45-59 мл/мин/1.73 м2 соответствует стадии 3а.</w:t>
        <w:br/>
        <w:br/>
      </w:r>
      <w:hyperlink r:id="rId20">
        <w:r>
          <w:rPr>
            <w:color w:val="173C49"/>
            <w:u w:val="single"/>
          </w:rPr>
          <w:t>Клинические рекомендации Министерства здравоохранения Российской Федерации. Хроническая болезнь почек (ХБП), 2021 г.</w:t>
        </w:r>
      </w:hyperlink>
      <w:r>
        <w:rPr>
          <w:b w:val="0"/>
          <w:i/>
        </w:rPr>
        <w:br/>
        <w:br/>
        <w:t>раздел 1.5</w:t>
        <w:br/>
        <w:br/>
      </w: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Следующим необходимым для постановки диагноза методом обследования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ультразвуковое исследование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КТ аортографии с контрастированием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рентгенологическое исследование органов грудной клетки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КТ аортографии с контрастированием</w:t>
      </w:r>
    </w:p>
    <w:p>
      <w:pPr>
        <w:ind w:left="504"/>
      </w:pPr>
      <w:r>
        <w:rPr>
          <w:b w:val="0"/>
          <w:i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  <w:r>
        <w:rPr>
          <w:b w:val="0"/>
          <w:i/>
        </w:rPr>
        <w:br/>
        <w:br/>
        <w:t>раздел 4.3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Минимальный диаметр общей бедренной артерии для эндопротезирования аневризмы аорты не менее +_____+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6,5</w:t>
      </w:r>
    </w:p>
    <w:p>
      <w:pPr>
        <w:ind w:left="504"/>
      </w:pPr>
      <w:r>
        <w:rPr>
          <w:b w:val="0"/>
          <w:i/>
        </w:rPr>
        <w:t>5) для трансфеморального доступа - диаметр общей подвздошной артерии (ОПА) не менее 6,5 мм, диаметр наружной подвздошной артерии (НПА) не менее 6,5 мм, диаметр общей бедренной артерии (ОБА) не менее 6,5 мм.</w:t>
        <w:br/>
        <w:br/>
        <w:t>Терновой, С. К. Томография сердца / Терновой С. К. - Москва : ГЭОТАР-Медиа, 2018. - 296 с. - ISBN 978-5-9704-4608-9.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уровне проксимальной зоны фиксации стент-графт следует подобрать диаметром +_____+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23</w:t>
      </w:r>
    </w:p>
    <w:p>
      <w:pPr>
        <w:ind w:left="504"/>
      </w:pPr>
      <w:r>
        <w:rPr>
          <w:b w:val="0"/>
          <w:i/>
        </w:rPr>
        <w:t>Рекомендуемое превышение диаметра стент-графта по отношению к диаметру аорты в местах фиксации должно составлять 10-20%.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аорты, 2017 г.</w:t>
        </w:r>
      </w:hyperlink>
      <w:r>
        <w:rPr>
          <w:b w:val="0"/>
          <w:i/>
        </w:rPr>
        <w:br/>
        <w:br/>
        <w:t>раздел 5.2.2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Для определения дальнейшей тактики ведения больного необходимо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выполнить КТ органов брюшной полости и оценить состояние стент-графта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выполнить УЗИ артерий нижних конечностей, при наличии показаний решить вопрос об оперативном лечении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провести УЗИ артерий нижних конечностей и начать инфузию ингибиторами GP IIb/IIIa в соответсвующей дозировке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укрыть ноги пациента дополнительным одеялом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выполнить УЗИ артерий нижних конечностей, при наличии показаний решить вопрос об оперативном лечении</w:t>
      </w:r>
    </w:p>
    <w:p>
      <w:pPr>
        <w:ind w:left="504"/>
      </w:pPr>
      <w:r>
        <w:rPr>
          <w:b w:val="0"/>
          <w:i/>
        </w:rPr>
        <w:t>При определении тактики хирургического лечения очень важна структура тромбоза, которая коррелирует с его давностью. Структура поражения оценивается в В-режиме. Свежие тромбозы артерии визуализируются как гипоэхогенные массы (рис. 2), которые могут формироваться на эхопозитивных пристеночных атеросклеротических бляшках.</w:t>
        <w:br/>
        <w:br/>
      </w:r>
      <w:hyperlink r:id="rId28">
        <w:r>
          <w:rPr>
            <w:color w:val="173C49"/>
            <w:u w:val="single"/>
          </w:rPr>
          <w:t>Клинические рекомендации Российского общества ангиологов и сосудистых хирургов. Острая ишемия нижних конечностей. 2022 г.</w:t>
        </w:r>
      </w:hyperlink>
      <w:r>
        <w:rPr>
          <w:b w:val="0"/>
          <w:i/>
        </w:rPr>
        <w:br/>
        <w:br/>
        <w:t>раздел 2.5.2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Принято решение о выполнении оперативного вмешательства в экстренном порядке. Для тромбоэкстракции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микрокатетер Corsair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катетер Фогарти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катетер Фолея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катетер Swan-Ganz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катетер Фогарти</w:t>
      </w:r>
    </w:p>
    <w:p>
      <w:pPr>
        <w:ind w:left="504"/>
      </w:pPr>
      <w:r>
        <w:rPr>
          <w:b w:val="0"/>
          <w:i/>
        </w:rPr>
        <w:t>Распространению метода непрямой тромбэктомии способствовало внедрение в практику баллонных катетеров Фогарти, позволяющих эффективно удалять эмболы и продолженные тромбы через поверхностные, легко доступные артерии, что привело к стандартизации оперативных доступов для эмболэктомии как нижних, так и верхних конечностей.</w:t>
        <w:br/>
        <w:br/>
        <w:t>Сосудистая хирургия В. С. Савельева : национальное руководство. Краткое издание / под ред. И. И. Затевахина, А. И. Кириенко. - Москва : ГЭОТАР-Медиа, 2022. - 608 с. (Серия "Национальные руководства") - ISBN 978-5-9704-6536-3. Глава 10.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Наиболее вероятной причиной острой почечной недостаточности в данном случае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постишемический синдром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имплантированный стент-граф, в результате выключения большого аневризматического мешка из системного кровотока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нефротоксическое влияние контрастного препарата, введенного интраоперационно (низкоосмолярный неионный контрастный препарат, 100 мл)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сдавление почечных артерий аневризматическим мешком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постишемический синдром</w:t>
      </w:r>
    </w:p>
    <w:p>
      <w:pPr>
        <w:ind w:left="504"/>
      </w:pPr>
      <w:r>
        <w:rPr>
          <w:b w:val="0"/>
          <w:i/>
        </w:rPr>
        <w:t>Изменения в организме возникающие после восстановления кровообращения в конечности (эмбол- или тромбэктомии) принято называть постишемическим синдромом, который имеет много общих черт с так называемым «crash-синдромом» или «синдромом жгута». Общие нарушения обусловлены попаданием в кровоток большого количества веществ, обладающих токсическим действием и заключаются в поражении всех систем и функций организма. Поступление в организм большого количества недоокисленных продуктов из очага ишемии ведет к общему ацидозу. Миоглобин из разрушенной мышечной ткани выводится почками. Миоглобинурия в условиях ацидоза способствует развитию миоглобинурического тубулярного нефроза. Развитию острой почечной недостаточности способствуют эпизоды гипотонии, которые могут сопровождать период реваскуляризации.</w:t>
        <w:br/>
        <w:br/>
      </w:r>
      <w:hyperlink r:id="rId28">
        <w:r>
          <w:rPr>
            <w:color w:val="173C49"/>
            <w:u w:val="single"/>
          </w:rPr>
          <w:t>Клинические рекомендации Российского общества ангиологов и сосудистых хирургов. Острая ишемия нижних конечностей. 2022 г.</w:t>
        </w:r>
      </w:hyperlink>
      <w:r>
        <w:rPr>
          <w:b w:val="0"/>
          <w:i/>
        </w:rPr>
        <w:br/>
        <w:br/>
        <w:t>раздел 4.5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Оптимальной для данного пациента терапией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экстракорпоральная детоксикация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реолитическая терапия ингибиторами GP IIb/IIIa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форсирование диуреза петлевыми диуретиками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антидизурическая терапия периферическим альфа адреноблоактором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экстракорпоральная детоксикация</w:t>
      </w:r>
    </w:p>
    <w:p>
      <w:pPr>
        <w:ind w:left="504"/>
      </w:pPr>
      <w:r>
        <w:rPr>
          <w:b w:val="0"/>
          <w:i/>
        </w:rPr>
        <w:t>Рекомендуется у пациентов с признаками прогрессирующего ОПП при динамическом наблюдении начинать ЗПТ до появления угрожающих жизни осложнений (гиперкалиемии, выраженного ацидоза, перегрузки жидкостью или уремии) с целью их вторичной профилактики при наличии не менее одного из следующих показателей: диурез менее 200 мл за 12 часов; уровень мочевины в сыворотке крови более 30 ммоль/л; нарастающий метаболический ацидоз при pH&lt;7,25; увеличение массы тела более 10% за счет задержки жидкости; угроза отека легких; развитие или прогрессирование внепочечных органных дисфункций) у пациентов с коморбидностью, тяжелом и крайне тяжелом состоянии, а также для быстрого удаления из циркуляции диализируемого токсического экзогенного продукта или ксенобиотика, которые могли стать причиной ОПП.</w:t>
        <w:br/>
        <w:br/>
      </w:r>
      <w:hyperlink r:id="rId32">
        <w:r>
          <w:rPr>
            <w:color w:val="173C49"/>
            <w:u w:val="single"/>
          </w:rPr>
          <w:t>Клинические рекомендации Ассоциации нефрологов. Острое повреждение почек (ОПП), 2020 г.</w:t>
        </w:r>
      </w:hyperlink>
      <w:r>
        <w:rPr>
          <w:b w:val="0"/>
          <w:i/>
        </w:rPr>
        <w:br/>
        <w:br/>
        <w:t>раздел 3.2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На фоне проведенной терапии состояние пациента улучшилось, почечная функция восстановилась. Выписан с улучшением.</w:t>
        <w:br/>
        <w:br/>
        <w:t>Пациенту необходимо провести контрольное визуализирующее исследование после операции через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 месяц</w:t>
      </w:r>
    </w:p>
    <w:p>
      <w:pPr>
        <w:ind w:left="504"/>
      </w:pPr>
      <w:r>
        <w:rPr>
          <w:b w:val="0"/>
          <w:i/>
        </w:rPr>
        <w:t>Для пациентов, перенесших открытое хирургическое вмешательство на грудной аорте либо TEVAR первое контрольное исследование должно быть выполнено через 1 мес после операции для исключения ранних осложнений.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12.2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Если бы при КТ ангиографии мы бы увидели подтекание контрастного препарата в полость аневризмы из проксимального края графта, ангиографическую картину следовало бы расценить как эндолик _____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1а</w:t>
      </w:r>
    </w:p>
    <w:p>
      <w:pPr>
        <w:ind w:left="504"/>
      </w:pPr>
      <w:r>
        <w:rPr>
          <w:b w:val="0"/>
          <w:i/>
        </w:rPr>
        <w:t>{nbsp}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5.2.1.2</w:t>
        <w:br/>
        <w:br/>
      </w: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определении подтекания 2 типа тактикой ведения пациента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экстренная хирургическая операция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плановое оперативное лечение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консервативное лечение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консервативное лечение</w:t>
      </w:r>
    </w:p>
    <w:p>
      <w:pPr>
        <w:ind w:left="504"/>
      </w:pPr>
      <w:r>
        <w:rPr>
          <w:b w:val="0"/>
          <w:i/>
        </w:rPr>
        <w:t>Эндолики типов I и III рассматриваются как осложнения и требуют дальнейших лечебных процедур для предотвращения сохраняющегося риска разрыва, в то время как эндолик типа II, как правило, можно вести консервативно (стратегия "выжидать и наблюдать") для выявления расширения аневризмы, кроме супрааортальных артерий аорты.</w:t>
        <w:br/>
        <w:br/>
      </w:r>
      <w:hyperlink r:id="rId22">
        <w:r>
          <w:rPr>
            <w:color w:val="173C49"/>
            <w:u w:val="single"/>
          </w:rPr>
          <w:t>Клинические рекомендации Ассоциации сердечно-сосудистых хирургов России. Рекомендации по диагностике и лечению заболеваний аорты. 2017 г.</w:t>
        </w:r>
      </w:hyperlink>
      <w:r>
        <w:rPr>
          <w:b w:val="0"/>
          <w:i/>
        </w:rPr>
        <w:br/>
        <w:br/>
        <w:t>раздел 5.2.1.2</w:t>
        <w:br/>
        <w:br/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Скрининговым методом исследования для определения аневризмы брюшной аорты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эхоКГ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МРТ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ЭКГ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УЗИ органов брюшной полости</w:t>
      </w:r>
    </w:p>
    <w:p>
      <w:pPr>
        <w:ind w:left="504"/>
      </w:pPr>
      <w:r>
        <w:rPr>
          <w:b w:val="0"/>
          <w:i/>
        </w:rPr>
        <w:t>Ультразвуковые визуализирующие методики (ТТЭХОКГ, ЧПЭХОКГ, УЗИОБП), так же как и обзорные рентгеновские снимки, в настоящее время чаще применяются для первичных скриннговых исследований, позволяющих заподозрить или подтвердить патологию аорты. Более дорогостоящие методики визуализации, такие как мультиспиральная компьютерная томография с контрастированием играют центральную роль в подтверждении диагноза, стратификации риска и планирование открытых и эндоваскулярных вмешательств на аорте.</w:t>
        <w:br/>
        <w:br/>
      </w:r>
      <w:hyperlink r:id="rId38">
        <w:r>
          <w:rPr>
            <w:color w:val="173C49"/>
            <w:u w:val="single"/>
          </w:rPr>
          <w:t>Клинические рекомендации Ассоциации сердечно-сосудистых хирургов России. Аневризма брюшной аорты, 2016 г.</w:t>
        </w:r>
      </w:hyperlink>
      <w:r>
        <w:rPr>
          <w:b w:val="0"/>
          <w:i/>
        </w:rPr>
        <w:br/>
        <w:br/>
        <w:t>раздел 2.4</w:t>
        <w:br/>
        <w:br/>
      </w:r>
      <w:hyperlink r:id="rId39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130474"/>
            <wp:docPr id="16" name="Picture 1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22a67ff7fbb5b9411a0ef580d4012547239cce3.jpg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13047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KP469/" TargetMode="External"/><Relationship Id="rId21" Type="http://schemas.openxmlformats.org/officeDocument/2006/relationships/hyperlink" Target="https://library.mededtech.ru/rest/documents/KP469/#tab6" TargetMode="External"/><Relationship Id="rId22" Type="http://schemas.openxmlformats.org/officeDocument/2006/relationships/hyperlink" Target="https://library.mededtech.ru/rest/documents/Kardiologiya_2018_01_007/" TargetMode="External"/><Relationship Id="rId23" Type="http://schemas.openxmlformats.org/officeDocument/2006/relationships/hyperlink" Target="https://library.mededtech.ru/rest/documents/Kardiologiya_2018_01_007/#paragraph_kb59ae" TargetMode="External"/><Relationship Id="rId24" Type="http://schemas.openxmlformats.org/officeDocument/2006/relationships/image" Target="media/image5.png"/><Relationship Id="rId25" Type="http://schemas.openxmlformats.org/officeDocument/2006/relationships/hyperlink" Target="https://library.mededtech.ru/rest/documents/ISBN9785970446089/?anchor=list_item_l8q4v9#list_item_l8q4v9" TargetMode="External"/><Relationship Id="rId26" Type="http://schemas.openxmlformats.org/officeDocument/2006/relationships/hyperlink" Target="https://library.mededtech.ru/rest/documents/Kardiologiya_2018_01_007/#paragraph_r58k0b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library.mededtech.ru/rest/documents/oink/" TargetMode="External"/><Relationship Id="rId29" Type="http://schemas.openxmlformats.org/officeDocument/2006/relationships/hyperlink" Target="https://library.mededtech.ru/rest/documents/oink/#paragraph_aq51j9" TargetMode="External"/><Relationship Id="rId30" Type="http://schemas.openxmlformats.org/officeDocument/2006/relationships/hyperlink" Target="https://library.mededtech.ru/rest/documents/ISBN9785970465363/?anchor=paragraph_7l7kkm#paragraph_7l7kkm" TargetMode="External"/><Relationship Id="rId31" Type="http://schemas.openxmlformats.org/officeDocument/2006/relationships/hyperlink" Target="https://library.mededtech.ru/rest/documents/oink/#list_item_busl4q" TargetMode="External"/><Relationship Id="rId32" Type="http://schemas.openxmlformats.org/officeDocument/2006/relationships/hyperlink" Target="https://library.mededtech.ru/rest/documents/AKI_final/" TargetMode="External"/><Relationship Id="rId33" Type="http://schemas.openxmlformats.org/officeDocument/2006/relationships/hyperlink" Target="https://library.mededtech.ru/rest/documents/AKI_final/#list_item_o4em5g" TargetMode="External"/><Relationship Id="rId34" Type="http://schemas.openxmlformats.org/officeDocument/2006/relationships/hyperlink" Target="https://library.mededtech.ru/rest/documents/Kardiologiya_2018_01_007/index.html#paragraph_q44oeo" TargetMode="External"/><Relationship Id="rId35" Type="http://schemas.openxmlformats.org/officeDocument/2006/relationships/image" Target="media/image7.png"/><Relationship Id="rId36" Type="http://schemas.openxmlformats.org/officeDocument/2006/relationships/hyperlink" Target="https://library.mededtech.ru/rest/documents/Kardiologiya_2018_01_007/index.html#paragraph_2v9gbp" TargetMode="External"/><Relationship Id="rId37" Type="http://schemas.openxmlformats.org/officeDocument/2006/relationships/hyperlink" Target="https://library.mededtech.ru/rest/documents/Kardiologiya_2018_01_007/index.html#paragraph_4css53" TargetMode="External"/><Relationship Id="rId38" Type="http://schemas.openxmlformats.org/officeDocument/2006/relationships/hyperlink" Target="https://library.mededtech.ru/rest/documents/abdominal-aortic-aneurysm_25/" TargetMode="External"/><Relationship Id="rId39" Type="http://schemas.openxmlformats.org/officeDocument/2006/relationships/hyperlink" Target="https://library.mededtech.ru/rest/documents/abdominal-aortic-aneurysm_25/#list_item_1lmp57" TargetMode="External"/><Relationship Id="rId40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